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Stratus Properties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Oasis Management Company Ltd.</w:t>
              <w:br/>
              <w:t>c/o Oasis Management (Hong Kong), 25/F, LHT Tower, 31 Queen's Road Central</w:t>
              <w:br/>
              <w:t>Central, K3, 00000</w:t>
              <w:br/>
              <w:t>(852) 2847-7708</w:t>
            </w:r>
          </w:p>
          <w:p>
            <w:pPr>
              <w:pStyle w:val="TableContents"/>
              <w:bidi w:val="0"/>
              <w:jc w:val="left"/>
              <w:rPr/>
            </w:pPr>
            <w:r>
              <w:rPr/>
            </w:r>
          </w:p>
          <w:p>
            <w:pPr>
              <w:pStyle w:val="TableContents"/>
              <w:bidi w:val="0"/>
              <w:spacing w:before="0" w:after="0"/>
              <w:jc w:val="center"/>
              <w:rPr>
                <w:b/>
                <w:color w:val="0000FF"/>
              </w:rPr>
            </w:pPr>
            <w:r>
              <w:rPr>
                <w:b/>
                <w:color w:val="0000FF"/>
              </w:rPr>
              <w:t>Ele Klein</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Management Co Ltd.</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666,575.00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666,575.00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666,575.00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8.4 %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Investments II Master Fund Ltd.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666,575.00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666,575.00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666,575.00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Seth Fischer</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666,575.00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666,575.00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666,575.00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8.4 %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5"/>
        <w:gridCol w:w="8856"/>
        <w:gridCol w:w="174"/>
      </w:tblGrid>
      <w:tr>
        <w:trPr/>
        <w:tc>
          <w:tcPr>
            <w:tcW w:w="1175" w:type="dxa"/>
            <w:tcBorders/>
            <w:vAlign w:val="center"/>
          </w:tcPr>
          <w:p>
            <w:pPr>
              <w:pStyle w:val="TableContents"/>
              <w:bidi w:val="0"/>
              <w:spacing w:before="0" w:after="283"/>
              <w:jc w:val="left"/>
              <w:rPr/>
            </w:pPr>
            <w:r>
              <w:rPr/>
              <w:t>Item 1.</w:t>
            </w:r>
          </w:p>
        </w:tc>
        <w:tc>
          <w:tcPr>
            <w:tcW w:w="8856" w:type="dxa"/>
            <w:tcBorders/>
            <w:vAlign w:val="center"/>
          </w:tcPr>
          <w:p>
            <w:pPr>
              <w:pStyle w:val="TableContents"/>
              <w:bidi w:val="0"/>
              <w:spacing w:before="0" w:after="283"/>
              <w:jc w:val="left"/>
              <w:rPr/>
            </w:pPr>
            <w:r>
              <w:rPr/>
              <w:t>Security and Issuer</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(a)</w:t>
            </w:r>
          </w:p>
        </w:tc>
        <w:tc>
          <w:tcPr>
            <w:tcW w:w="88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(b)</w:t>
            </w:r>
          </w:p>
        </w:tc>
        <w:tc>
          <w:tcPr>
            <w:tcW w:w="8856" w:type="dxa"/>
            <w:tcBorders/>
            <w:vAlign w:val="center"/>
          </w:tcPr>
          <w:p>
            <w:pPr>
              <w:pStyle w:val="TableContents"/>
              <w:bidi w:val="0"/>
              <w:jc w:val="left"/>
              <w:rPr/>
            </w:pPr>
            <w:r>
              <w:rPr/>
              <w:t xml:space="preserve">Name of Issuer: </w:t>
            </w:r>
          </w:p>
          <w:p>
            <w:pPr>
              <w:pStyle w:val="TableContents"/>
              <w:bidi w:val="0"/>
              <w:spacing w:before="0" w:after="0"/>
              <w:jc w:val="left"/>
              <w:rPr/>
            </w:pPr>
            <w:r>
              <w:rPr/>
              <w:t>Stratus Properties Inc.</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(c)</w:t>
            </w:r>
          </w:p>
        </w:tc>
        <w:tc>
          <w:tcPr>
            <w:tcW w:w="88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212 LAVACA STREET, SUITE 300, AUSTIN, TEXAS , 78701.</w:t>
            </w:r>
          </w:p>
        </w:tc>
        <w:tc>
          <w:tcPr>
            <w:tcW w:w="174"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("Amendment No. 8") amends and supplements the statement on Schedule 13D filed with the Securities and Exchange Commission (the "SEC") on September 12, 2016 (the "Original Schedule 13D"), as amended by Amendment No. 1 to the Schedule 13D filed with the SEC on January 13, 2017 ("Amendment No. 1"), Amendment No. 2 to the Schedule 13D filed with the SEC on September 23, 2020 ("Amendment No. 2"), Amendment No. 3 to the Schedule 13D filed with the SEC on January 5, 2021 ("Amendment No. 3"), Amendment No. 4 to the Schedule 13D filed with the SEC on April 6, 2023 ("Amendment No. 4"), Amendment No. 5 to the Schedule 13D filed with the SEC on February 20, 2024 ("Amendment No. 5"), Amendment No. 6 to the Schedule 13D filed with the SEC on April 20, 2026 ("Amendment No. 6"), and Amendment No. 7 to the Schedule13D filed with the SEC on July 7, 2026 ("Amendment No. 7", and together with the Original Schedule 13D, Amendment No. 2, Amendment No. 3, Amendment No. 4, Amendment No. 5, Amendment No. 6, and this Amendment No. 8, the "Schedule 13D"), with respect to the shares ("Shares") of common stock, par value $0.01 per share, of Stratus Properties Inc., a Delaware corporation (the "Issuer"). This Amendment No. 8 amends and restates Items 5(a) - (c) as set forth below. Capitalized terms used herein and not otherwise defined in this Amendment No. 8 have the meanings set forth in the Schedule 13D.</w:t>
            </w:r>
          </w:p>
        </w:tc>
      </w:tr>
      <w:tr>
        <w:trPr/>
        <w:tc>
          <w:tcPr>
            <w:tcW w:w="1175" w:type="dxa"/>
            <w:tcBorders/>
            <w:vAlign w:val="center"/>
          </w:tcPr>
          <w:p>
            <w:pPr>
              <w:pStyle w:val="TableContents"/>
              <w:bidi w:val="0"/>
              <w:spacing w:before="0" w:after="283"/>
              <w:jc w:val="left"/>
              <w:rPr/>
            </w:pPr>
            <w:r>
              <w:rPr/>
              <w:t>Item 5.</w:t>
            </w:r>
          </w:p>
        </w:tc>
        <w:tc>
          <w:tcPr>
            <w:tcW w:w="8856" w:type="dxa"/>
            <w:tcBorders/>
            <w:vAlign w:val="center"/>
          </w:tcPr>
          <w:p>
            <w:pPr>
              <w:pStyle w:val="TableContents"/>
              <w:bidi w:val="0"/>
              <w:spacing w:before="0" w:after="283"/>
              <w:jc w:val="left"/>
              <w:rPr/>
            </w:pPr>
            <w:r>
              <w:rPr/>
              <w:t>Interest in Securities of the Issuer</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(a)</w:t>
            </w:r>
          </w:p>
        </w:tc>
        <w:tc>
          <w:tcPr>
            <w:tcW w:w="8856" w:type="dxa"/>
            <w:tcBorders/>
            <w:vAlign w:val="center"/>
          </w:tcPr>
          <w:p>
            <w:pPr>
              <w:pStyle w:val="TableContents"/>
              <w:bidi w:val="0"/>
              <w:spacing w:before="0" w:after="0"/>
              <w:jc w:val="left"/>
              <w:rPr/>
            </w:pPr>
            <w:r>
              <w:rPr/>
              <w:t>See rows (11) and (13) of the cover pages to this Schedule 13D for the aggregate number of Shares and percentage of the Shares beneficially owned by each of the Reporting Persons. The percentages used in this Schedule 13D are calculated based upon 7,982,723 Shares reported to be outstanding as of April 30, 2026 in the Issuer's Quarterly Report on Form 10-Q for the quarterly period ended March 31, 2026, filed with the SEC on June 1, 2026.</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(b)</w:t>
            </w:r>
          </w:p>
        </w:tc>
        <w:tc>
          <w:tcPr>
            <w:tcW w:w="8856" w:type="dxa"/>
            <w:tcBorders/>
            <w:vAlign w:val="center"/>
          </w:tcPr>
          <w:p>
            <w:pPr>
              <w:pStyle w:val="TableContents"/>
              <w:bidi w:val="0"/>
              <w:spacing w:before="0" w:after="0"/>
              <w:jc w:val="left"/>
              <w:rPr/>
            </w:pPr>
            <w:r>
              <w:rPr/>
              <w:t>See rows (7) through (10) of the cover pages to this Schedule 13D for the number of Shares as to which each of the Reporting Persons has the sole power to vote or direct the vote and sole power to dispose or to direct the disposition.</w:t>
            </w:r>
          </w:p>
        </w:tc>
        <w:tc>
          <w:tcPr>
            <w:tcW w:w="174" w:type="dxa"/>
            <w:tcBorders/>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(c)</w:t>
            </w:r>
          </w:p>
        </w:tc>
        <w:tc>
          <w:tcPr>
            <w:tcW w:w="8856" w:type="dxa"/>
            <w:tcBorders/>
            <w:vAlign w:val="center"/>
          </w:tcPr>
          <w:p>
            <w:pPr>
              <w:pStyle w:val="TableContents"/>
              <w:bidi w:val="0"/>
              <w:spacing w:before="0" w:after="0"/>
              <w:jc w:val="left"/>
              <w:rPr/>
            </w:pPr>
            <w:r>
              <w:rPr/>
              <w:t>The transactions in the Shares by Oasis II Fund since the filing of Amendment No.7 which were all in the open market, except where otherwise noted, are set forth in Schedule D, and are incorporated herein by reference. The other Reporting Persons did not enter into any transactions in the Shares since the filing of Amendment No.7.</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Oasis Management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Phillip Meyer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Phillip Meyer,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Oasis Investments II Master Fund Ltd.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6"/>
        <w:gridCol w:w="4439"/>
      </w:tblGrid>
      <w:tr>
        <w:trPr/>
        <w:tc>
          <w:tcPr>
            <w:tcW w:w="57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Seth Fischer</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Seth Fischer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39"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22" w:name="p26-1626ex99.htm"/>
      <w:bookmarkStart w:id="23" w:name="ksp261626ex99"/>
      <w:bookmarkEnd w:id="22"/>
      <w:bookmarkEnd w:id="23"/>
      <w:r>
        <w:rPr>
          <w:rFonts w:ascii="Times New Roman;Times;Serif" w:hAnsi="Times New Roman;Times;Serif"/>
          <w:b/>
          <w:i w:val="false"/>
          <w:caps w:val="false"/>
          <w:smallCaps w:val="false"/>
          <w:sz w:val="22"/>
          <w:u w:val="single"/>
        </w:rPr>
        <w:t>SCHEDULE D</w:t>
      </w:r>
      <w:r>
        <w:br w:type="page"/>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Schedule sets forth information with respect to each purchase and sale of Shares which were effectuated by a Reporting Person since the filing of Amendment No. 7. All transactions were effectuated in the open market through a broker, except where otherwise noted. Where a price range is provided in the column Price Range ($), the price reported in that row's Price Per Share ($) column is a weighted average price. These Shares were purchased or sold in multiple transactions at prices between the price ranges indicated in the Price Range ($) column. The Reporting Persons will undertake to provide to the staff of the Securities and Exchange Commission, upon request, full information regarding the number of Shares purchased or sold at each separate price.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INVESTMENTS II MASTER FUND LTD.</w:t>
      </w:r>
    </w:p>
    <w:p>
      <w:pPr>
        <w:pStyle w:val="TextBody"/>
        <w:bidi w:val="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1115"/>
        <w:gridCol w:w="2285"/>
        <w:gridCol w:w="935"/>
        <w:gridCol w:w="1610"/>
      </w:tblGrid>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Trade Date</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Shares Purchased (Sold)</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Price ($)*</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Price Range ($)*</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07/07/2026</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07/08/2026</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07/29/2026</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07/31/2026</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08/03/2026</w:t>
            </w:r>
          </w:p>
        </w:tc>
        <w:tc>
          <w:tcPr>
            <w:tcW w:w="228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(30,000)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(28,720)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(20,000)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(80,000)</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(18,222)</w:t>
            </w:r>
          </w:p>
        </w:tc>
        <w:tc>
          <w:tcPr>
            <w:tcW w:w="9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27.50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27.51</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19.50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19.50</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20.00</w:t>
            </w:r>
          </w:p>
        </w:tc>
        <w:tc>
          <w:tcPr>
            <w:tcW w:w="161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27.50 – 27.52</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27.50 – 27.51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Excluding commissions, SEC fees, etc. (rounded to nearest cents).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1332</Words>
  <Characters>6687</Characters>
  <CharactersWithSpaces>7928</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