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tLeast" w:line="142" w:before="60" w:after="283"/>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2" w:space="0" w:color="000000"/>
            </w:tcBorders>
            <w:tcMar>
              <w:left w:w="0" w:type="dxa"/>
              <w:right w:w="0" w:type="dxa"/>
            </w:tcMar>
            <w:vAlign w:val="center"/>
          </w:tcPr>
          <w:p>
            <w:pPr>
              <w:pStyle w:val="TableContents"/>
              <w:bidi w:val="0"/>
              <w:spacing w:before="20" w:after="283"/>
              <w:jc w:val="center"/>
              <w:rPr/>
            </w:pPr>
            <w:r>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jc w:val="center"/>
        <w:rPr>
          <w:rFonts w:ascii="Times New Roman;serif" w:hAnsi="Times New Roman;serif"/>
          <w:b/>
          <w:color w:val="000000"/>
          <w:sz w:val="32"/>
        </w:rPr>
      </w:pPr>
      <w:r>
        <w:rPr>
          <w:rFonts w:ascii="Times New Roman;serif" w:hAnsi="Times New Roman;serif"/>
          <w:b/>
          <w:color w:val="000000"/>
          <w:sz w:val="32"/>
        </w:rPr>
        <w:t>FORM 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NOTIFICATION OF REMOVAL FROM LISTING AND/OR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REGISTRATION UNDER SECTION 12(b)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001-37716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Stratus Properties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Nasdaq Stock Market LLC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Issuer as specified in its charter, and name of Exchange where security is listed and/or registered)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212 Lavaca St., Suite 300, </w:t>
      </w:r>
    </w:p>
    <w:p>
      <w:pPr>
        <w:pStyle w:val="TextBody"/>
        <w:bidi w:val="0"/>
        <w:spacing w:lineRule="auto" w:line="288" w:before="0" w:after="0"/>
        <w:jc w:val="center"/>
        <w:rPr/>
      </w:pPr>
      <w:r>
        <w:rPr>
          <w:rFonts w:ascii="Times New Roman;serif" w:hAnsi="Times New Roman;serif"/>
          <w:b/>
          <w:color w:val="000000"/>
          <w:sz w:val="24"/>
        </w:rPr>
        <w:t>Austin, Texas 78701</w:t>
      </w:r>
      <w:r>
        <w:rPr>
          <w:rFonts w:ascii="Times New Roman;serif" w:hAnsi="Times New Roman;serif"/>
          <w:b w:val="false"/>
          <w:color w:val="000000"/>
          <w:sz w:val="22"/>
        </w:rPr>
        <w:br/>
      </w:r>
      <w:r>
        <w:rPr>
          <w:rFonts w:ascii="Times New Roman;serif" w:hAnsi="Times New Roman;serif"/>
          <w:b/>
          <w:color w:val="000000"/>
          <w:sz w:val="22"/>
        </w:rPr>
        <w:t>(512) 478-5788</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and including area code, of Issuer’s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stock, par value $0.01 per share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(Description of class of securities)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place an X in the box to designate the rule provision relied upon to strike the class of securities from listing and registration: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6"/>
        <w:gridCol w:w="2853"/>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CFR 240.12d2-2(a)(1)</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CFR 240.12d2-2(a)(2)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CFR 240.12d2-2(a)(3)</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CFR 240.12d2-2(a)(4)</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Pursuant to 17 CFR 240.12d2-2(b), the Exchange has complied with its rules to strike the class of securities from listing and/or withdraw registration on the Exchange.</w:t>
            </w:r>
            <w:r>
              <w:rPr>
                <w:rFonts w:ascii="Times New Roman;serif" w:hAnsi="Times New Roman;serif"/>
                <w:b w:val="false"/>
                <w:color w:val="000000"/>
                <w:sz w:val="13"/>
              </w:rPr>
              <w:t>1</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17 CFR 240.12d2-2(c), the Issuer has complied with the rules of the Exchange and the requirements of 17 CFR 240.12d2-2(c) governing the voluntary withdrawal of the class of securities from listing and registration on the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Stratus Properties Inc. certifies that it has reasonable grounds to believe that it meets all of the requirements for filing the Form 25 and has caused this notification to be signed on its behalf by the undersigned duly authorized person.</w:t>
      </w:r>
    </w:p>
    <w:p>
      <w:pPr>
        <w:pStyle w:val="TextBody"/>
        <w:bidi w:val="0"/>
        <w:spacing w:lineRule="auto" w:line="288" w:before="0" w:after="0"/>
        <w:jc w:val="left"/>
        <w:rPr>
          <w:color w:val="000000"/>
        </w:rPr>
      </w:pPr>
      <w:r>
        <w:rPr>
          <w:color w:val="000000"/>
        </w:rPr>
        <w:t> </w:t>
      </w:r>
    </w:p>
    <w:tbl>
      <w:tblPr>
        <w:tblW w:w="7303" w:type="dxa"/>
        <w:jc w:val="left"/>
        <w:tblInd w:w="0" w:type="dxa"/>
        <w:tblLayout w:type="fixed"/>
        <w:tblCellMar>
          <w:top w:w="28" w:type="dxa"/>
          <w:left w:w="28" w:type="dxa"/>
          <w:bottom w:w="28" w:type="dxa"/>
          <w:right w:w="28" w:type="dxa"/>
        </w:tblCellMar>
      </w:tblPr>
      <w:tblGrid>
        <w:gridCol w:w="443"/>
        <w:gridCol w:w="390"/>
        <w:gridCol w:w="396"/>
        <w:gridCol w:w="644"/>
        <w:gridCol w:w="644"/>
        <w:gridCol w:w="647"/>
        <w:gridCol w:w="1211"/>
        <w:gridCol w:w="1211"/>
        <w:gridCol w:w="1717"/>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/s/ Erin D. Pickens</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2" w:space="0" w:color="000000"/>
            </w:tcBorders>
            <w:tcMar>
              <w:left w:w="0" w:type="dxa"/>
              <w:right w:w="0" w:type="dxa"/>
            </w:tcMar>
            <w:vAlign w:val="center"/>
          </w:tcPr>
          <w:p>
            <w:pPr>
              <w:pStyle w:val="TableContents"/>
              <w:bidi w:val="0"/>
              <w:spacing w:before="20" w:after="283"/>
              <w:jc w:val="center"/>
              <w:rPr/>
            </w:pPr>
            <w:r>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Form 25 and attached Notice will be considered compliance with the provisions of 17 CFR 240.19d-1 as applicable. See General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294</Words>
  <Characters>1574</Characters>
  <CharactersWithSpaces>1846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